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4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855"/>
        <w:gridCol w:w="135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南方电网对港送电累计突破3000亿千瓦时</w:t>
            </w:r>
          </w:p>
        </w:tc>
        <w:tc>
          <w:tcPr>
            <w:tcW w:w="1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基础类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hint="default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黄宝仪 黄勇华 周薇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柯庆文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《南方电网报》社</w:t>
            </w:r>
          </w:p>
        </w:tc>
        <w:tc>
          <w:tcPr>
            <w:tcW w:w="855" w:type="dxa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《南方电网报》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hint="default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头版</w:t>
            </w:r>
          </w:p>
        </w:tc>
        <w:tc>
          <w:tcPr>
            <w:tcW w:w="855" w:type="dxa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2022年7月1日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︵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作采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品编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简过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介程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2022年7月1日，香港回归祖国25周年，备受瞩目。南方电网作为中央企业，胸怀“国之大者”，立足服务粤港澳大湾区这一国家战略，紧扣内地与香港电网互联互通历史发展脉络，精准把握“时度效”，在《南方电网报》1版策划推出《南方电网对港送电累计突破3000亿千瓦时》，在特殊时刻唱响主旋律、弘扬正能量，历史意义重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《南方电网报》1版刊发图文报道《南方电网对港送电累计突破3000亿千瓦时》，南网50Hz微信微博联动推送。作品通过历史回顾、典型数据、关键新闻点的多层次呈现，立体地描绘了粤港两地电网相依相连的史实，具有纵深感，兼具连贯性。文章结构清晰、逻辑严密，在电网发展轨迹中展示两岸紧密相联的历史事实；惜墨如金，以数为媒，在平实朴素中客观勾勒出这一重大时刻新闻事件的来龙去脉，留下了时代的印记。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4" w:hRule="atLeast"/>
        </w:trPr>
        <w:tc>
          <w:tcPr>
            <w:tcW w:w="1450" w:type="dxa"/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社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会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效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果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品获主流媒体高度关注，《人民日报》、新华社、中央电视台均有刊发刊播；央视新闻客户端、人民网、光明网、中新网等中央网络媒体，南方日报、广州日报、深圳特区报、晶报等地方媒体，国资委网站、国资小新微信公众号、国家能源局微信公众号、中国电力报、中国能源报、能源圈、南方财经等国家部委平台、行业媒体和财经媒体刊发刊播相关报道。该主题报道共获主流媒体刊发转载7500余篇次，传播受众人数达7400多万，产生了很好的传播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推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荐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理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由</w:t>
            </w:r>
          </w:p>
        </w:tc>
        <w:tc>
          <w:tcPr>
            <w:tcW w:w="817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题材重大，在香港回归祖国25周年的特殊时刻唱响主旋律、弘扬正能量，历史意义重大。作品短小精悍，全文仅580字；行文逻辑严密，既有层次感又有纵深感，以素描般的平实，全景式地展示了内地与香港电网紧密相连的昨天、今天、明天。作品关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度高、传播效果突出、社会反响强烈。同意推荐该作品参评全国行业好新闻大赛。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                    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                               签名：（盖单位公章）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                               2023年3月17日</w:t>
            </w:r>
          </w:p>
        </w:tc>
      </w:tr>
    </w:tbl>
    <w:p>
      <w:pPr>
        <w:ind w:firstLine="420"/>
        <w:rPr>
          <w:rFonts w:hint="eastAsia" w:ascii="仿宋" w:hAnsi="仿宋" w:eastAsia="仿宋" w:cs="仿宋"/>
          <w:color w:val="000000"/>
          <w:sz w:val="24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89ACA7E2-C50C-4753-B7ED-6F99448B576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0E27F93-5673-4760-B5C6-E27C89401BB4}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3" w:fontKey="{48FDE406-0444-4DD4-8B14-7C6EA0E07E5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1BB4E75-AB14-4F45-B0CA-A9D09B27598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0713A80-0DFE-4D44-83E9-5E63CFEF81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ZTI5NmIzY2MyNWRlZGE5ZmU0YmQ3OTNhYmY0OGIifQ=="/>
  </w:docVars>
  <w:rsids>
    <w:rsidRoot w:val="089F4012"/>
    <w:rsid w:val="089F4012"/>
    <w:rsid w:val="204D2849"/>
    <w:rsid w:val="30D06C3A"/>
    <w:rsid w:val="504D50C7"/>
    <w:rsid w:val="505A77E4"/>
    <w:rsid w:val="51515B13"/>
    <w:rsid w:val="54DD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3">
    <w:name w:val="Title"/>
    <w:basedOn w:val="1"/>
    <w:next w:val="1"/>
    <w:qFormat/>
    <w:uiPriority w:val="0"/>
    <w:pPr>
      <w:ind w:firstLineChars="0"/>
      <w:jc w:val="center"/>
      <w:textAlignment w:val="baseline"/>
    </w:pPr>
    <w:rPr>
      <w:rFonts w:ascii="Calibri" w:hAnsi="Calibri" w:eastAsia="黑体" w:cs="Times New Roman"/>
      <w:b/>
      <w:bCs/>
      <w:kern w:val="2"/>
      <w:sz w:val="4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2023-03-14T10:10:00Z</dcterms:created>
  <dc:creator>黄宝仪</dc:creator>
  <cp:lastModifiedBy>heyt01</cp:lastModifiedBy>
  <dcterms:modified xsi:type="dcterms:W3CDTF">2023-03-24T06:09:41Z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A6062FD49A7847AC9EF0AAA601B88AD5</vt:lpwstr>
  </property>
</Properties>
</file>