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360" w:lineRule="exact"/>
        <w:ind w:firstLine="720"/>
        <w:jc w:val="center"/>
        <w:rPr>
          <w:rFonts w:ascii="华文中宋" w:hAnsi="华文中宋" w:eastAsia="华文中宋"/>
          <w:color w:val="000000"/>
          <w:sz w:val="36"/>
          <w:szCs w:val="36"/>
        </w:rPr>
      </w:pPr>
      <w:r>
        <w:rPr>
          <w:rFonts w:hint="eastAsia" w:ascii="华文中宋" w:hAnsi="华文中宋" w:eastAsia="华文中宋"/>
          <w:color w:val="000000"/>
          <w:sz w:val="36"/>
          <w:szCs w:val="36"/>
        </w:rPr>
        <w:t>中国新闻奖参评作品推荐表</w:t>
      </w:r>
    </w:p>
    <w:tbl>
      <w:tblPr>
        <w:tblStyle w:val="3"/>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50"/>
        <w:gridCol w:w="1109"/>
        <w:gridCol w:w="1559"/>
        <w:gridCol w:w="1559"/>
        <w:gridCol w:w="851"/>
        <w:gridCol w:w="567"/>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trPr>
        <w:tc>
          <w:tcPr>
            <w:tcW w:w="1551" w:type="dxa"/>
            <w:gridSpan w:val="2"/>
            <w:vMerge w:val="restart"/>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4227" w:type="dxa"/>
            <w:gridSpan w:val="3"/>
            <w:vMerge w:val="restart"/>
            <w:vAlign w:val="center"/>
          </w:tcPr>
          <w:p>
            <w:pPr>
              <w:spacing w:line="260" w:lineRule="exact"/>
              <w:rPr>
                <w:rFonts w:hint="eastAsia" w:ascii="仿宋_GB2312" w:hAnsi="仿宋" w:eastAsia="仿宋_GB2312"/>
                <w:color w:val="000000"/>
                <w:szCs w:val="21"/>
                <w:lang w:val="en-US" w:eastAsia="zh-CN"/>
              </w:rPr>
            </w:pPr>
            <w:r>
              <w:rPr>
                <w:rFonts w:hint="eastAsia" w:ascii="仿宋_GB2312" w:hAnsi="仿宋" w:eastAsia="仿宋_GB2312"/>
                <w:color w:val="000000"/>
                <w:szCs w:val="21"/>
                <w:lang w:val="en-US" w:eastAsia="zh-CN"/>
              </w:rPr>
              <w:t>绿色低碳的电气化中老铁路让老挝人民生活更美好</w:t>
            </w:r>
          </w:p>
          <w:p>
            <w:pPr>
              <w:spacing w:line="260" w:lineRule="exact"/>
              <w:rPr>
                <w:rFonts w:ascii="华文中宋" w:hAnsi="华文中宋" w:eastAsia="华文中宋"/>
                <w:color w:val="000000"/>
                <w:sz w:val="28"/>
              </w:rPr>
            </w:pPr>
          </w:p>
        </w:tc>
        <w:tc>
          <w:tcPr>
            <w:tcW w:w="1418"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2551" w:type="dxa"/>
            <w:vAlign w:val="center"/>
          </w:tcPr>
          <w:p>
            <w:pPr>
              <w:spacing w:line="260" w:lineRule="exact"/>
              <w:rPr>
                <w:rFonts w:hint="eastAsia" w:ascii="仿宋_GB2312" w:hAnsi="仿宋" w:eastAsia="仿宋_GB2312"/>
                <w:color w:val="000000"/>
                <w:szCs w:val="21"/>
                <w:lang w:val="en-US" w:eastAsia="zh-CN"/>
              </w:rPr>
            </w:pPr>
            <w:r>
              <w:rPr>
                <w:rFonts w:hint="eastAsia" w:ascii="仿宋_GB2312" w:hAnsi="仿宋" w:eastAsia="仿宋_GB2312"/>
                <w:color w:val="000000"/>
                <w:szCs w:val="21"/>
                <w:lang w:val="en-US" w:eastAsia="zh-CN"/>
              </w:rPr>
              <w:t>国际传播奖项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7" w:hRule="exact"/>
        </w:trPr>
        <w:tc>
          <w:tcPr>
            <w:tcW w:w="1551" w:type="dxa"/>
            <w:gridSpan w:val="2"/>
            <w:vMerge w:val="continue"/>
            <w:vAlign w:val="center"/>
          </w:tcPr>
          <w:p>
            <w:pPr>
              <w:spacing w:line="380" w:lineRule="exact"/>
              <w:ind w:firstLine="560"/>
              <w:jc w:val="center"/>
              <w:rPr>
                <w:rFonts w:ascii="华文中宋" w:hAnsi="华文中宋" w:eastAsia="华文中宋"/>
                <w:color w:val="000000"/>
                <w:sz w:val="28"/>
              </w:rPr>
            </w:pPr>
          </w:p>
        </w:tc>
        <w:tc>
          <w:tcPr>
            <w:tcW w:w="4227" w:type="dxa"/>
            <w:gridSpan w:val="3"/>
            <w:vMerge w:val="continue"/>
            <w:vAlign w:val="center"/>
          </w:tcPr>
          <w:p>
            <w:pPr>
              <w:spacing w:line="380" w:lineRule="exact"/>
              <w:ind w:firstLine="560"/>
              <w:jc w:val="center"/>
              <w:rPr>
                <w:rFonts w:ascii="华文中宋" w:hAnsi="华文中宋" w:eastAsia="华文中宋"/>
                <w:color w:val="000000"/>
                <w:sz w:val="28"/>
              </w:rPr>
            </w:pPr>
          </w:p>
        </w:tc>
        <w:tc>
          <w:tcPr>
            <w:tcW w:w="851"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118" w:type="dxa"/>
            <w:gridSpan w:val="2"/>
            <w:vAlign w:val="center"/>
          </w:tcPr>
          <w:p>
            <w:pPr>
              <w:spacing w:line="260" w:lineRule="exact"/>
              <w:jc w:val="center"/>
              <w:rPr>
                <w:rFonts w:hint="eastAsia" w:ascii="仿宋_GB2312" w:hAnsi="仿宋" w:eastAsia="仿宋_GB2312"/>
                <w:color w:val="000000"/>
                <w:sz w:val="28"/>
                <w:lang w:eastAsia="zh-CN"/>
              </w:rPr>
            </w:pPr>
            <w:r>
              <w:rPr>
                <w:rFonts w:hint="eastAsia" w:ascii="仿宋_GB2312" w:hAnsi="仿宋" w:eastAsia="仿宋_GB2312"/>
                <w:color w:val="000000"/>
                <w:szCs w:val="21"/>
                <w:lang w:val="en-US" w:eastAsia="zh-CN"/>
              </w:rPr>
              <w:t>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exact"/>
        </w:trPr>
        <w:tc>
          <w:tcPr>
            <w:tcW w:w="1551" w:type="dxa"/>
            <w:gridSpan w:val="2"/>
            <w:vMerge w:val="continue"/>
            <w:vAlign w:val="center"/>
          </w:tcPr>
          <w:p>
            <w:pPr>
              <w:spacing w:line="380" w:lineRule="exact"/>
              <w:ind w:firstLine="560"/>
              <w:jc w:val="center"/>
              <w:rPr>
                <w:rFonts w:ascii="华文中宋" w:hAnsi="华文中宋" w:eastAsia="华文中宋"/>
                <w:color w:val="000000"/>
                <w:sz w:val="28"/>
              </w:rPr>
            </w:pPr>
          </w:p>
        </w:tc>
        <w:tc>
          <w:tcPr>
            <w:tcW w:w="4227" w:type="dxa"/>
            <w:gridSpan w:val="3"/>
            <w:vMerge w:val="continue"/>
            <w:vAlign w:val="center"/>
          </w:tcPr>
          <w:p>
            <w:pPr>
              <w:spacing w:line="380" w:lineRule="exact"/>
              <w:ind w:firstLine="560"/>
              <w:jc w:val="center"/>
              <w:rPr>
                <w:rFonts w:ascii="华文中宋" w:hAnsi="华文中宋" w:eastAsia="华文中宋"/>
                <w:color w:val="000000"/>
                <w:sz w:val="28"/>
              </w:rPr>
            </w:pPr>
          </w:p>
        </w:tc>
        <w:tc>
          <w:tcPr>
            <w:tcW w:w="851"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118" w:type="dxa"/>
            <w:gridSpan w:val="2"/>
            <w:vAlign w:val="center"/>
          </w:tcPr>
          <w:p>
            <w:pPr>
              <w:spacing w:line="260" w:lineRule="exact"/>
              <w:jc w:val="center"/>
              <w:rPr>
                <w:rFonts w:hint="default" w:ascii="仿宋_GB2312" w:hAnsi="仿宋" w:eastAsia="仿宋_GB2312"/>
                <w:color w:val="000000"/>
                <w:szCs w:val="21"/>
                <w:lang w:val="en-US" w:eastAsia="zh-CN"/>
              </w:rPr>
            </w:pPr>
            <w:r>
              <w:rPr>
                <w:rFonts w:hint="eastAsia" w:ascii="仿宋_GB2312" w:hAnsi="仿宋" w:eastAsia="仿宋_GB2312"/>
                <w:color w:val="000000"/>
                <w:szCs w:val="21"/>
                <w:lang w:val="en-US" w:eastAsia="zh-CN"/>
              </w:rPr>
              <w:t>老挝语、英语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551" w:type="dxa"/>
            <w:gridSpan w:val="2"/>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jc w:val="center"/>
              <w:rPr>
                <w:rFonts w:ascii="华文中宋" w:hAnsi="华文中宋" w:eastAsia="华文中宋"/>
                <w:color w:val="000000"/>
                <w:spacing w:val="-12"/>
                <w:sz w:val="24"/>
              </w:rPr>
            </w:pPr>
            <w:r>
              <w:rPr>
                <w:rFonts w:hint="eastAsia" w:ascii="华文中宋" w:hAnsi="华文中宋" w:eastAsia="华文中宋"/>
                <w:color w:val="000000"/>
                <w:spacing w:val="-12"/>
                <w:sz w:val="24"/>
              </w:rPr>
              <w:t>（主创人员）</w:t>
            </w:r>
          </w:p>
        </w:tc>
        <w:tc>
          <w:tcPr>
            <w:tcW w:w="2668" w:type="dxa"/>
            <w:gridSpan w:val="2"/>
            <w:vAlign w:val="center"/>
          </w:tcPr>
          <w:p>
            <w:pPr>
              <w:spacing w:line="260" w:lineRule="exact"/>
              <w:jc w:val="center"/>
              <w:rPr>
                <w:rFonts w:ascii="仿宋_GB2312" w:hAnsi="华文中宋" w:eastAsia="仿宋_GB2312"/>
                <w:color w:val="000000"/>
                <w:sz w:val="28"/>
              </w:rPr>
            </w:pPr>
            <w:r>
              <w:rPr>
                <w:rFonts w:hint="eastAsia" w:ascii="仿宋_GB2312" w:hAnsi="仿宋" w:eastAsia="仿宋_GB2312"/>
                <w:color w:val="000000"/>
                <w:szCs w:val="21"/>
              </w:rPr>
              <w:t xml:space="preserve">刘杰 </w:t>
            </w:r>
            <w:r>
              <w:rPr>
                <w:rFonts w:hint="eastAsia" w:ascii="仿宋_GB2312" w:hAnsi="仿宋" w:eastAsia="仿宋_GB2312"/>
                <w:color w:val="000000"/>
                <w:szCs w:val="21"/>
                <w:lang w:val="en-US" w:eastAsia="zh-CN"/>
              </w:rPr>
              <w:t>宋超</w:t>
            </w:r>
            <w:r>
              <w:rPr>
                <w:rFonts w:hint="eastAsia" w:ascii="仿宋_GB2312" w:hAnsi="仿宋" w:eastAsia="仿宋_GB2312"/>
                <w:color w:val="000000"/>
                <w:szCs w:val="21"/>
              </w:rPr>
              <w:t xml:space="preserve"> </w:t>
            </w:r>
            <w:r>
              <w:rPr>
                <w:rFonts w:hint="eastAsia" w:ascii="仿宋_GB2312" w:hAnsi="仿宋" w:eastAsia="仿宋_GB2312"/>
                <w:color w:val="000000"/>
                <w:szCs w:val="21"/>
                <w:lang w:val="en-US" w:eastAsia="zh-CN"/>
              </w:rPr>
              <w:t>郭冬冬</w:t>
            </w:r>
          </w:p>
        </w:tc>
        <w:tc>
          <w:tcPr>
            <w:tcW w:w="1559" w:type="dxa"/>
            <w:vAlign w:val="center"/>
          </w:tcPr>
          <w:p>
            <w:pPr>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3969" w:type="dxa"/>
            <w:gridSpan w:val="3"/>
            <w:vAlign w:val="center"/>
          </w:tcPr>
          <w:p>
            <w:pPr>
              <w:spacing w:line="240" w:lineRule="exact"/>
              <w:ind w:firstLine="397"/>
              <w:jc w:val="center"/>
              <w:rPr>
                <w:rFonts w:hint="default" w:ascii="仿宋" w:hAnsi="仿宋" w:eastAsia="仿宋"/>
                <w:color w:val="000000"/>
                <w:w w:val="95"/>
                <w:szCs w:val="21"/>
                <w:lang w:val="en-US" w:eastAsia="zh-CN"/>
              </w:rPr>
            </w:pPr>
            <w:r>
              <w:rPr>
                <w:rFonts w:hint="eastAsia" w:ascii="仿宋" w:hAnsi="仿宋" w:eastAsia="仿宋"/>
                <w:color w:val="000000"/>
                <w:w w:val="95"/>
                <w:szCs w:val="21"/>
                <w:lang w:val="en-US" w:eastAsia="zh-CN"/>
              </w:rPr>
              <w:t>何宇瞳 蔡译萱 徐苔林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atLeast"/>
        </w:trPr>
        <w:tc>
          <w:tcPr>
            <w:tcW w:w="1551" w:type="dxa"/>
            <w:gridSpan w:val="2"/>
            <w:vAlign w:val="center"/>
          </w:tcPr>
          <w:p>
            <w:pPr>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668" w:type="dxa"/>
            <w:gridSpan w:val="2"/>
            <w:vAlign w:val="center"/>
          </w:tcPr>
          <w:p>
            <w:pPr>
              <w:spacing w:line="260" w:lineRule="exact"/>
              <w:jc w:val="center"/>
              <w:rPr>
                <w:rFonts w:hint="default" w:ascii="仿宋_GB2312" w:hAnsi="仿宋" w:eastAsia="仿宋_GB2312"/>
                <w:color w:val="000000"/>
                <w:szCs w:val="21"/>
                <w:lang w:val="en-US" w:eastAsia="zh-CN"/>
              </w:rPr>
            </w:pPr>
            <w:r>
              <w:rPr>
                <w:rFonts w:hint="eastAsia" w:ascii="仿宋_GB2312" w:hAnsi="仿宋" w:eastAsia="仿宋_GB2312"/>
                <w:color w:val="000000"/>
                <w:szCs w:val="21"/>
                <w:lang w:val="en-US" w:eastAsia="zh-CN"/>
              </w:rPr>
              <w:t>南方电网报</w:t>
            </w:r>
          </w:p>
        </w:tc>
        <w:tc>
          <w:tcPr>
            <w:tcW w:w="1559" w:type="dxa"/>
            <w:vAlign w:val="center"/>
          </w:tcPr>
          <w:p>
            <w:pPr>
              <w:jc w:val="center"/>
              <w:rPr>
                <w:rFonts w:ascii="华文中宋" w:hAnsi="华文中宋" w:eastAsia="华文中宋"/>
                <w:color w:val="000000"/>
                <w:sz w:val="28"/>
              </w:rPr>
            </w:pPr>
            <w:r>
              <w:rPr>
                <w:rFonts w:hint="eastAsia" w:ascii="华文中宋" w:hAnsi="华文中宋" w:eastAsia="华文中宋"/>
                <w:color w:val="000000"/>
                <w:sz w:val="28"/>
              </w:rPr>
              <w:t>刊播单位</w:t>
            </w:r>
          </w:p>
        </w:tc>
        <w:tc>
          <w:tcPr>
            <w:tcW w:w="3969" w:type="dxa"/>
            <w:gridSpan w:val="3"/>
            <w:vAlign w:val="center"/>
          </w:tcPr>
          <w:p>
            <w:pPr>
              <w:spacing w:line="260" w:lineRule="exact"/>
              <w:jc w:val="center"/>
              <w:rPr>
                <w:rFonts w:ascii="仿宋_GB2312" w:hAnsi="仿宋" w:eastAsia="仿宋_GB2312"/>
                <w:color w:val="000000"/>
                <w:sz w:val="18"/>
                <w:szCs w:val="18"/>
                <w:highlight w:val="green"/>
              </w:rPr>
            </w:pPr>
            <w:r>
              <w:rPr>
                <w:rFonts w:hint="eastAsia" w:ascii="仿宋" w:hAnsi="仿宋" w:eastAsia="仿宋"/>
                <w:color w:val="000000"/>
                <w:w w:val="95"/>
                <w:szCs w:val="21"/>
                <w:lang w:val="en-US" w:eastAsia="zh-CN"/>
              </w:rPr>
              <w:t>老挝《人民报》、老挝巴特寮通讯社、老挝《万象时报》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exact"/>
        </w:trPr>
        <w:tc>
          <w:tcPr>
            <w:tcW w:w="1551" w:type="dxa"/>
            <w:gridSpan w:val="2"/>
            <w:vAlign w:val="center"/>
          </w:tcPr>
          <w:p>
            <w:pPr>
              <w:jc w:val="center"/>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sz w:val="24"/>
              </w:rPr>
              <w:t>名称和版次)</w:t>
            </w:r>
          </w:p>
        </w:tc>
        <w:tc>
          <w:tcPr>
            <w:tcW w:w="2668" w:type="dxa"/>
            <w:gridSpan w:val="2"/>
            <w:vAlign w:val="center"/>
          </w:tcPr>
          <w:p>
            <w:pPr>
              <w:spacing w:line="260" w:lineRule="exact"/>
              <w:jc w:val="center"/>
              <w:rPr>
                <w:rFonts w:hint="default" w:ascii="仿宋_GB2312" w:hAnsi="仿宋" w:eastAsia="仿宋"/>
                <w:color w:val="000000"/>
                <w:szCs w:val="21"/>
                <w:lang w:val="en-US" w:eastAsia="zh-CN"/>
              </w:rPr>
            </w:pPr>
            <w:r>
              <w:rPr>
                <w:rFonts w:hint="eastAsia" w:ascii="仿宋" w:hAnsi="仿宋" w:eastAsia="仿宋"/>
                <w:color w:val="000000"/>
                <w:szCs w:val="21"/>
              </w:rPr>
              <w:t>老挝《人民报》</w:t>
            </w:r>
            <w:r>
              <w:rPr>
                <w:rFonts w:hint="eastAsia" w:ascii="仿宋" w:hAnsi="仿宋" w:eastAsia="仿宋"/>
                <w:color w:val="000000"/>
                <w:szCs w:val="21"/>
                <w:lang w:val="en-US" w:eastAsia="zh-CN"/>
              </w:rPr>
              <w:t>头版、老挝巴特寮通讯社电讯稿、老挝《万象时报》12版</w:t>
            </w:r>
          </w:p>
        </w:tc>
        <w:tc>
          <w:tcPr>
            <w:tcW w:w="1559" w:type="dxa"/>
            <w:vAlign w:val="center"/>
          </w:tcPr>
          <w:p>
            <w:pPr>
              <w:jc w:val="center"/>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3969" w:type="dxa"/>
            <w:gridSpan w:val="3"/>
            <w:vAlign w:val="center"/>
          </w:tcPr>
          <w:p>
            <w:pPr>
              <w:spacing w:line="260" w:lineRule="exact"/>
              <w:jc w:val="center"/>
              <w:rPr>
                <w:rFonts w:ascii="仿宋_GB2312" w:hAnsi="仿宋" w:eastAsia="仿宋_GB2312"/>
                <w:color w:val="000000"/>
                <w:szCs w:val="21"/>
              </w:rPr>
            </w:pPr>
            <w:r>
              <w:rPr>
                <w:rFonts w:hint="eastAsia" w:ascii="仿宋_GB2312" w:hAnsi="仿宋" w:eastAsia="仿宋_GB2312"/>
                <w:color w:val="000000"/>
                <w:szCs w:val="21"/>
                <w:lang w:val="en-US" w:eastAsia="zh-CN"/>
              </w:rPr>
              <w:t>2021年8</w:t>
            </w:r>
            <w:r>
              <w:rPr>
                <w:rFonts w:hint="eastAsia" w:ascii="仿宋_GB2312" w:hAnsi="仿宋" w:eastAsia="仿宋_GB2312"/>
                <w:color w:val="000000"/>
                <w:szCs w:val="21"/>
              </w:rPr>
              <w:t>月</w:t>
            </w:r>
            <w:r>
              <w:rPr>
                <w:rFonts w:hint="eastAsia" w:ascii="仿宋_GB2312" w:hAnsi="仿宋" w:eastAsia="仿宋_GB2312"/>
                <w:color w:val="000000"/>
                <w:szCs w:val="21"/>
                <w:lang w:val="en-US" w:eastAsia="zh-CN"/>
              </w:rPr>
              <w:t>31</w:t>
            </w:r>
            <w:r>
              <w:rPr>
                <w:rFonts w:hint="eastAsia" w:ascii="仿宋_GB2312" w:hAnsi="仿宋" w:eastAsia="仿宋_GB2312"/>
                <w:color w:val="00000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6" w:hRule="exact"/>
        </w:trPr>
        <w:tc>
          <w:tcPr>
            <w:tcW w:w="2660" w:type="dxa"/>
            <w:gridSpan w:val="3"/>
            <w:vAlign w:val="center"/>
          </w:tcPr>
          <w:p>
            <w:pPr>
              <w:spacing w:line="240" w:lineRule="exact"/>
              <w:jc w:val="center"/>
              <w:rPr>
                <w:rFonts w:ascii="华文中宋" w:hAnsi="华文中宋" w:eastAsia="华文中宋"/>
                <w:color w:val="000000"/>
                <w:w w:val="95"/>
                <w:sz w:val="28"/>
                <w:szCs w:val="28"/>
              </w:rPr>
            </w:pPr>
            <w:r>
              <w:rPr>
                <w:rFonts w:hint="eastAsia" w:ascii="华文中宋" w:hAnsi="华文中宋" w:eastAsia="华文中宋"/>
                <w:color w:val="000000"/>
                <w:w w:val="95"/>
                <w:sz w:val="28"/>
                <w:szCs w:val="28"/>
              </w:rPr>
              <w:t>新媒体作品填报网址</w:t>
            </w:r>
          </w:p>
        </w:tc>
        <w:tc>
          <w:tcPr>
            <w:tcW w:w="7087" w:type="dxa"/>
            <w:gridSpan w:val="5"/>
            <w:vAlign w:val="center"/>
          </w:tcPr>
          <w:p>
            <w:pPr>
              <w:spacing w:line="260" w:lineRule="exact"/>
              <w:rPr>
                <w:rFonts w:ascii="仿宋_GB2312" w:hAnsi="仿宋"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01" w:type="dxa"/>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采作</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编品</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过简</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程介</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646" w:type="dxa"/>
            <w:gridSpan w:val="7"/>
          </w:tcPr>
          <w:p>
            <w:pPr>
              <w:ind w:firstLine="420" w:firstLineChars="200"/>
              <w:rPr>
                <w:rFonts w:hint="eastAsia" w:ascii="仿宋" w:hAnsi="仿宋" w:eastAsia="仿宋"/>
                <w:color w:val="000000"/>
                <w:szCs w:val="21"/>
              </w:rPr>
            </w:pPr>
            <w:r>
              <w:rPr>
                <w:rFonts w:hint="eastAsia" w:ascii="仿宋" w:hAnsi="仿宋" w:eastAsia="仿宋"/>
                <w:color w:val="000000"/>
                <w:szCs w:val="21"/>
              </w:rPr>
              <w:t>中老铁路是在习近平总书记见证下、中老两国签署的基础设施领域合作项目之一，也是中国“一带一路”倡议与老挝“变陆锁国为陆联国”战略的对接项目。</w:t>
            </w:r>
          </w:p>
          <w:p>
            <w:pPr>
              <w:ind w:firstLine="420"/>
              <w:rPr>
                <w:rFonts w:hint="eastAsia" w:ascii="仿宋" w:hAnsi="仿宋" w:eastAsia="仿宋"/>
                <w:color w:val="000000"/>
                <w:szCs w:val="21"/>
              </w:rPr>
            </w:pPr>
            <w:r>
              <w:rPr>
                <w:rFonts w:hint="eastAsia" w:ascii="仿宋" w:hAnsi="仿宋" w:eastAsia="仿宋"/>
                <w:color w:val="000000"/>
                <w:szCs w:val="21"/>
              </w:rPr>
              <w:t>提前策划</w:t>
            </w:r>
            <w:r>
              <w:rPr>
                <w:rFonts w:hint="eastAsia" w:ascii="仿宋" w:hAnsi="仿宋" w:eastAsia="仿宋"/>
                <w:color w:val="000000"/>
                <w:szCs w:val="21"/>
                <w:lang w:eastAsia="zh-CN"/>
              </w:rPr>
              <w:t>、</w:t>
            </w:r>
            <w:r>
              <w:rPr>
                <w:rFonts w:hint="eastAsia" w:ascii="仿宋" w:hAnsi="仿宋" w:eastAsia="仿宋"/>
                <w:color w:val="000000"/>
                <w:szCs w:val="21"/>
              </w:rPr>
              <w:t>融媒生产、打造精品</w:t>
            </w:r>
            <w:r>
              <w:rPr>
                <w:rFonts w:hint="eastAsia" w:ascii="仿宋" w:hAnsi="仿宋" w:eastAsia="仿宋"/>
                <w:color w:val="000000"/>
                <w:szCs w:val="21"/>
                <w:lang w:eastAsia="zh-CN"/>
              </w:rPr>
              <w:t>，</w:t>
            </w:r>
            <w:r>
              <w:rPr>
                <w:rFonts w:hint="eastAsia" w:ascii="仿宋" w:hAnsi="仿宋" w:eastAsia="仿宋"/>
                <w:color w:val="000000"/>
                <w:szCs w:val="21"/>
              </w:rPr>
              <w:t>以2021年8月31日中老铁路外部供电项目全线竣工为关键节点，全力做好国际传播工作。</w:t>
            </w:r>
            <w:r>
              <w:rPr>
                <w:rFonts w:hint="eastAsia" w:ascii="仿宋" w:hAnsi="仿宋" w:eastAsia="仿宋"/>
                <w:color w:val="000000"/>
                <w:szCs w:val="21"/>
                <w:lang w:val="en-US" w:eastAsia="zh-CN"/>
              </w:rPr>
              <w:t>2021年</w:t>
            </w:r>
            <w:r>
              <w:rPr>
                <w:rFonts w:hint="eastAsia" w:ascii="仿宋" w:hAnsi="仿宋" w:eastAsia="仿宋"/>
                <w:color w:val="000000"/>
                <w:szCs w:val="21"/>
              </w:rPr>
              <w:t>6月</w:t>
            </w:r>
            <w:r>
              <w:rPr>
                <w:rFonts w:hint="eastAsia" w:ascii="仿宋" w:hAnsi="仿宋" w:eastAsia="仿宋"/>
                <w:color w:val="000000"/>
                <w:szCs w:val="21"/>
                <w:lang w:val="en-US" w:eastAsia="zh-CN"/>
              </w:rPr>
              <w:t>开始</w:t>
            </w:r>
            <w:r>
              <w:rPr>
                <w:rFonts w:hint="eastAsia" w:ascii="仿宋" w:hAnsi="仿宋" w:eastAsia="仿宋"/>
                <w:color w:val="000000"/>
                <w:szCs w:val="21"/>
              </w:rPr>
              <w:t>组建文字、图片、视频融媒体报道团队，多次前往云南玉溪、普洱、西双版纳以及老挝的山河密林，采访30余条战线的工作人员，</w:t>
            </w:r>
            <w:r>
              <w:rPr>
                <w:rFonts w:hint="eastAsia" w:ascii="仿宋" w:hAnsi="仿宋" w:eastAsia="仿宋"/>
                <w:color w:val="000000"/>
                <w:szCs w:val="21"/>
                <w:lang w:val="en-US" w:eastAsia="zh-CN"/>
              </w:rPr>
              <w:t>深度挖掘</w:t>
            </w:r>
            <w:r>
              <w:rPr>
                <w:rFonts w:hint="eastAsia" w:ascii="仿宋" w:hAnsi="仿宋" w:eastAsia="仿宋"/>
                <w:color w:val="000000"/>
                <w:szCs w:val="21"/>
              </w:rPr>
              <w:t>新闻素材。为满足老挝主流媒体需求，</w:t>
            </w:r>
            <w:r>
              <w:rPr>
                <w:rFonts w:hint="eastAsia" w:ascii="仿宋" w:hAnsi="仿宋" w:eastAsia="仿宋"/>
                <w:color w:val="000000"/>
                <w:szCs w:val="21"/>
                <w:lang w:val="en-US" w:eastAsia="zh-CN"/>
              </w:rPr>
              <w:t>将中文</w:t>
            </w:r>
            <w:r>
              <w:rPr>
                <w:rFonts w:hint="eastAsia" w:ascii="仿宋" w:hAnsi="仿宋" w:eastAsia="仿宋"/>
                <w:color w:val="000000"/>
                <w:szCs w:val="21"/>
              </w:rPr>
              <w:t>稿</w:t>
            </w:r>
            <w:r>
              <w:rPr>
                <w:rFonts w:hint="eastAsia" w:ascii="仿宋" w:hAnsi="仿宋" w:eastAsia="仿宋"/>
                <w:color w:val="000000"/>
                <w:szCs w:val="21"/>
                <w:lang w:val="en-US" w:eastAsia="zh-CN"/>
              </w:rPr>
              <w:t>件</w:t>
            </w:r>
            <w:r>
              <w:rPr>
                <w:rFonts w:hint="eastAsia" w:ascii="仿宋" w:hAnsi="仿宋" w:eastAsia="仿宋"/>
                <w:color w:val="000000"/>
                <w:szCs w:val="21"/>
              </w:rPr>
              <w:t>翻译成老挝语版、英文版，有效提高了项目在老挝媒体的传播效果。</w:t>
            </w:r>
          </w:p>
          <w:p>
            <w:pPr>
              <w:ind w:firstLine="420"/>
              <w:rPr>
                <w:rFonts w:hint="eastAsia" w:ascii="仿宋" w:hAnsi="仿宋" w:eastAsia="仿宋"/>
                <w:color w:val="000000"/>
                <w:szCs w:val="21"/>
                <w:lang w:val="en-US" w:eastAsia="zh-CN"/>
              </w:rPr>
            </w:pPr>
            <w:r>
              <w:rPr>
                <w:rFonts w:hint="eastAsia" w:ascii="仿宋" w:hAnsi="仿宋" w:eastAsia="仿宋"/>
                <w:color w:val="000000"/>
                <w:szCs w:val="21"/>
                <w:lang w:val="en-US" w:eastAsia="zh-CN"/>
              </w:rPr>
              <w:t>全媒体持续传播。</w:t>
            </w:r>
            <w:r>
              <w:rPr>
                <w:rFonts w:hint="eastAsia" w:ascii="仿宋" w:hAnsi="仿宋" w:eastAsia="仿宋"/>
                <w:color w:val="000000"/>
                <w:szCs w:val="21"/>
              </w:rPr>
              <w:t>7月起，</w:t>
            </w:r>
            <w:r>
              <w:rPr>
                <w:rFonts w:hint="eastAsia" w:ascii="仿宋" w:hAnsi="仿宋" w:eastAsia="仿宋"/>
                <w:color w:val="000000"/>
                <w:szCs w:val="21"/>
                <w:lang w:val="en-US" w:eastAsia="zh-CN"/>
              </w:rPr>
              <w:t>自有</w:t>
            </w:r>
            <w:r>
              <w:rPr>
                <w:rFonts w:hint="eastAsia" w:ascii="仿宋" w:hAnsi="仿宋" w:eastAsia="仿宋"/>
                <w:color w:val="000000"/>
                <w:szCs w:val="21"/>
              </w:rPr>
              <w:t>媒体矩阵开始预热报道，从规划、环保、技术、人物</w:t>
            </w:r>
            <w:r>
              <w:rPr>
                <w:rFonts w:hint="eastAsia" w:ascii="仿宋" w:hAnsi="仿宋" w:eastAsia="仿宋"/>
                <w:color w:val="000000"/>
                <w:szCs w:val="21"/>
                <w:lang w:val="en-US" w:eastAsia="zh-CN"/>
              </w:rPr>
              <w:t>等</w:t>
            </w:r>
            <w:r>
              <w:rPr>
                <w:rFonts w:hint="eastAsia" w:ascii="仿宋" w:hAnsi="仿宋" w:eastAsia="仿宋"/>
                <w:color w:val="000000"/>
                <w:szCs w:val="21"/>
              </w:rPr>
              <w:t>方面讲述中老铁路外部供电项目建设故事</w:t>
            </w:r>
            <w:r>
              <w:rPr>
                <w:rFonts w:hint="eastAsia" w:ascii="仿宋" w:hAnsi="仿宋" w:eastAsia="仿宋"/>
                <w:color w:val="000000"/>
                <w:szCs w:val="21"/>
                <w:lang w:eastAsia="zh-CN"/>
              </w:rPr>
              <w:t>；</w:t>
            </w:r>
            <w:r>
              <w:rPr>
                <w:rFonts w:hint="eastAsia" w:ascii="仿宋" w:hAnsi="仿宋" w:eastAsia="仿宋"/>
                <w:color w:val="000000"/>
                <w:szCs w:val="21"/>
              </w:rPr>
              <w:t>8月31日竣工节点，</w:t>
            </w:r>
            <w:r>
              <w:rPr>
                <w:rFonts w:hint="eastAsia" w:ascii="仿宋" w:hAnsi="仿宋" w:eastAsia="仿宋"/>
                <w:color w:val="000000"/>
                <w:szCs w:val="21"/>
                <w:lang w:val="en-US" w:eastAsia="zh-CN"/>
              </w:rPr>
              <w:t>自有</w:t>
            </w:r>
            <w:r>
              <w:rPr>
                <w:rFonts w:hint="eastAsia" w:ascii="仿宋" w:hAnsi="仿宋" w:eastAsia="仿宋"/>
                <w:color w:val="000000"/>
                <w:szCs w:val="21"/>
              </w:rPr>
              <w:t>媒体矩阵以及入驻的新媒体平台第一时间进行发布</w:t>
            </w:r>
            <w:r>
              <w:rPr>
                <w:rFonts w:hint="eastAsia" w:ascii="仿宋" w:hAnsi="仿宋" w:eastAsia="仿宋"/>
                <w:color w:val="000000"/>
                <w:szCs w:val="21"/>
                <w:lang w:eastAsia="zh-CN"/>
              </w:rPr>
              <w:t>；</w:t>
            </w:r>
            <w:r>
              <w:rPr>
                <w:rFonts w:hint="eastAsia" w:ascii="仿宋" w:hAnsi="仿宋" w:eastAsia="仿宋"/>
                <w:color w:val="000000"/>
                <w:szCs w:val="21"/>
              </w:rPr>
              <w:t>同时，持续做好二次传播，收集中老两国反响及时刊播。</w:t>
            </w:r>
          </w:p>
          <w:p>
            <w:pPr>
              <w:ind w:firstLine="420"/>
              <w:rPr>
                <w:rFonts w:hint="eastAsia" w:ascii="仿宋" w:hAnsi="仿宋" w:eastAsia="仿宋"/>
                <w:color w:val="000000"/>
                <w:szCs w:val="21"/>
              </w:rPr>
            </w:pPr>
            <w:r>
              <w:rPr>
                <w:rFonts w:hint="eastAsia" w:ascii="仿宋" w:hAnsi="仿宋" w:eastAsia="仿宋"/>
                <w:color w:val="000000"/>
                <w:szCs w:val="21"/>
                <w:lang w:val="en-US" w:eastAsia="zh-CN"/>
              </w:rPr>
              <w:t>该作品</w:t>
            </w:r>
            <w:r>
              <w:rPr>
                <w:rFonts w:hint="eastAsia" w:ascii="仿宋" w:hAnsi="仿宋" w:eastAsia="仿宋"/>
                <w:color w:val="000000"/>
                <w:szCs w:val="21"/>
              </w:rPr>
              <w:t>内容主要从老挝本地居民、中老两国参建者的角度，全方位展现该项目为保护老挝青山绿水，带动老挝经济社会发展，提升老挝百姓生活水平所作的努力，在中老建交60周年暨中老友好年来临之际，突出了中央企业勇担使命，主动履责，积极融入“一带一路”倡议和中老命运共同体建设的生动实践。</w:t>
            </w:r>
          </w:p>
          <w:p>
            <w:pPr>
              <w:ind w:firstLine="420"/>
              <w:rPr>
                <w:rFonts w:hint="eastAsia" w:ascii="仿宋" w:hAnsi="仿宋" w:eastAsia="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5" w:hRule="atLeast"/>
        </w:trPr>
        <w:tc>
          <w:tcPr>
            <w:tcW w:w="1101"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646" w:type="dxa"/>
            <w:gridSpan w:val="7"/>
            <w:vAlign w:val="top"/>
          </w:tcPr>
          <w:p>
            <w:pPr>
              <w:ind w:firstLine="420"/>
              <w:rPr>
                <w:rFonts w:hint="eastAsia" w:ascii="仿宋" w:hAnsi="仿宋" w:eastAsia="仿宋"/>
                <w:color w:val="000000"/>
                <w:szCs w:val="21"/>
              </w:rPr>
            </w:pPr>
            <w:r>
              <w:rPr>
                <w:rFonts w:hint="eastAsia" w:ascii="仿宋" w:hAnsi="仿宋" w:eastAsia="仿宋"/>
                <w:color w:val="000000"/>
                <w:szCs w:val="21"/>
                <w:lang w:val="en-US" w:eastAsia="zh-CN"/>
              </w:rPr>
              <w:t>该</w:t>
            </w:r>
            <w:r>
              <w:rPr>
                <w:rFonts w:hint="eastAsia" w:ascii="仿宋" w:hAnsi="仿宋" w:eastAsia="仿宋"/>
                <w:color w:val="000000"/>
                <w:szCs w:val="21"/>
              </w:rPr>
              <w:t>报道在中老主流媒体和知名社交媒体平台广泛传播，全线完工后的两天内发布报道近600篇次。老挝人民革命党中央机关报《人民报》头版、老挝国家通讯社巴特寮通讯社、老挝全国性英文报纸《万象时报》均在第一时间发布了项目全线竣工的相关报道，肯定项目对推动中老铁路建设的重要意义，以及在改善老挝民生、造福老挝民众上的促进作用。</w:t>
            </w:r>
          </w:p>
          <w:p>
            <w:pPr>
              <w:ind w:firstLine="420"/>
              <w:rPr>
                <w:rFonts w:hint="eastAsia" w:ascii="仿宋" w:hAnsi="仿宋" w:eastAsia="仿宋"/>
                <w:color w:val="000000"/>
                <w:szCs w:val="21"/>
              </w:rPr>
            </w:pPr>
            <w:r>
              <w:rPr>
                <w:rFonts w:hint="eastAsia" w:ascii="仿宋" w:hAnsi="仿宋" w:eastAsia="仿宋"/>
                <w:color w:val="000000"/>
                <w:szCs w:val="21"/>
              </w:rPr>
              <w:t>国家级海外传播媒体及时进行对外传播，新华社万象分社、中国国际广播电台老挝万象分台、中国日报发布报道；国家外文局重点媒体China Focus 发布英语版新闻，并在其官方脸书（facebook）和推特（twitter）账号进行发布</w:t>
            </w:r>
            <w:r>
              <w:rPr>
                <w:rFonts w:hint="default" w:ascii="仿宋" w:hAnsi="仿宋" w:eastAsia="仿宋"/>
                <w:color w:val="000000"/>
                <w:szCs w:val="21"/>
              </w:rPr>
              <w:t>；</w:t>
            </w:r>
            <w:r>
              <w:rPr>
                <w:rFonts w:hint="eastAsia" w:ascii="仿宋" w:hAnsi="仿宋" w:eastAsia="仿宋"/>
                <w:color w:val="000000"/>
                <w:szCs w:val="21"/>
                <w:lang w:val="en-US" w:eastAsia="zh-Hans"/>
              </w:rPr>
              <w:t>国资委官方英文网站</w:t>
            </w:r>
            <w:r>
              <w:rPr>
                <w:rFonts w:hint="default" w:ascii="仿宋" w:hAnsi="仿宋" w:eastAsia="仿宋"/>
                <w:color w:val="000000"/>
                <w:szCs w:val="21"/>
                <w:lang w:eastAsia="zh-Hans"/>
              </w:rPr>
              <w:t>、</w:t>
            </w:r>
            <w:r>
              <w:rPr>
                <w:rFonts w:hint="eastAsia" w:ascii="仿宋" w:hAnsi="仿宋" w:eastAsia="仿宋"/>
                <w:color w:val="000000"/>
                <w:szCs w:val="21"/>
                <w:lang w:val="en-US" w:eastAsia="zh-Hans"/>
              </w:rPr>
              <w:t>中国网发布英语版新闻</w:t>
            </w:r>
            <w:r>
              <w:rPr>
                <w:rFonts w:hint="default" w:ascii="仿宋" w:hAnsi="仿宋" w:eastAsia="仿宋"/>
                <w:color w:val="000000"/>
                <w:szCs w:val="21"/>
                <w:lang w:eastAsia="zh-Hans"/>
              </w:rPr>
              <w:t>。</w:t>
            </w:r>
          </w:p>
          <w:p>
            <w:pPr>
              <w:ind w:firstLine="420"/>
              <w:rPr>
                <w:rFonts w:hint="eastAsia" w:ascii="仿宋" w:hAnsi="仿宋" w:eastAsia="仿宋"/>
                <w:color w:val="000000"/>
                <w:szCs w:val="21"/>
              </w:rPr>
            </w:pPr>
            <w:r>
              <w:rPr>
                <w:rFonts w:hint="eastAsia" w:ascii="仿宋" w:hAnsi="仿宋" w:eastAsia="仿宋"/>
                <w:color w:val="000000"/>
                <w:szCs w:val="21"/>
              </w:rPr>
              <w:t>同时，得到人民日报、新华社、中央电视台《新闻联播》、中央人民广播电台等中央主流媒体报道。此外，中国政府网、国新办官方网站、国资委官方网站、国资小新等也发布相关报道。</w:t>
            </w:r>
          </w:p>
          <w:p>
            <w:pPr>
              <w:ind w:firstLine="420"/>
              <w:rPr>
                <w:rFonts w:hint="default" w:ascii="仿宋" w:hAnsi="仿宋" w:eastAsia="仿宋"/>
                <w:color w:val="000000"/>
                <w:szCs w:val="21"/>
                <w:lang w:eastAsia="zh-Hans"/>
              </w:rPr>
            </w:pPr>
            <w:r>
              <w:rPr>
                <w:rFonts w:hint="eastAsia" w:ascii="仿宋" w:hAnsi="仿宋" w:eastAsia="仿宋"/>
                <w:color w:val="000000"/>
                <w:szCs w:val="21"/>
              </w:rPr>
              <w:t>项目全线竣工的消息，在老挝民众中引发热烈反响。老挝网友纷纷肯定项目在中老铁路建设中的推动作用，积极评价南方电网公司在项目实施中为保护老挝生态环境付出的努力，对中老铁路早日通车表示期待。</w:t>
            </w:r>
            <w:r>
              <w:rPr>
                <w:rFonts w:hint="eastAsia" w:ascii="仿宋" w:hAnsi="仿宋" w:eastAsia="仿宋"/>
                <w:color w:val="000000"/>
                <w:szCs w:val="21"/>
                <w:lang w:val="en-US" w:eastAsia="zh-Hans"/>
              </w:rPr>
              <w:t>项目也对中老两国推进电力合作</w:t>
            </w:r>
            <w:r>
              <w:rPr>
                <w:rFonts w:hint="default" w:ascii="仿宋" w:hAnsi="仿宋" w:eastAsia="仿宋"/>
                <w:color w:val="000000"/>
                <w:szCs w:val="21"/>
                <w:lang w:eastAsia="zh-Hans"/>
              </w:rPr>
              <w:t>，</w:t>
            </w:r>
            <w:r>
              <w:rPr>
                <w:rFonts w:hint="eastAsia" w:ascii="仿宋" w:hAnsi="仿宋" w:eastAsia="仿宋"/>
                <w:color w:val="000000"/>
                <w:szCs w:val="21"/>
                <w:lang w:val="en-US" w:eastAsia="zh-Hans"/>
              </w:rPr>
              <w:t>尤其老挝国家输电网项目</w:t>
            </w:r>
            <w:r>
              <w:rPr>
                <w:rFonts w:hint="default" w:ascii="仿宋" w:hAnsi="仿宋" w:eastAsia="仿宋"/>
                <w:color w:val="000000"/>
                <w:szCs w:val="21"/>
                <w:lang w:eastAsia="zh-Hans"/>
              </w:rPr>
              <w:t>、</w:t>
            </w:r>
            <w:r>
              <w:rPr>
                <w:rFonts w:hint="eastAsia" w:ascii="仿宋" w:hAnsi="仿宋" w:eastAsia="仿宋"/>
                <w:color w:val="000000"/>
                <w:szCs w:val="21"/>
                <w:lang w:val="en-US" w:eastAsia="zh-Hans"/>
              </w:rPr>
              <w:t>中老联网等议题营造了良好舆论环境</w:t>
            </w:r>
            <w:r>
              <w:rPr>
                <w:rFonts w:hint="default" w:ascii="仿宋" w:hAnsi="仿宋" w:eastAsia="仿宋"/>
                <w:color w:val="000000"/>
                <w:szCs w:val="21"/>
                <w:lang w:eastAsia="zh-Hans"/>
              </w:rPr>
              <w:t>，有助于“深化中老电力合作战略伙伴关系”。</w:t>
            </w:r>
          </w:p>
          <w:p>
            <w:pPr>
              <w:ind w:firstLine="420"/>
              <w:rPr>
                <w:rFonts w:hint="eastAsia" w:ascii="仿宋" w:hAnsi="仿宋" w:eastAsia="仿宋"/>
                <w:color w:val="000000"/>
                <w:szCs w:val="21"/>
                <w:lang w:val="en-US" w:eastAsia="zh-CN"/>
              </w:rPr>
            </w:pPr>
            <w:r>
              <w:rPr>
                <w:rFonts w:hint="eastAsia" w:ascii="仿宋" w:hAnsi="仿宋" w:eastAsia="仿宋"/>
                <w:color w:val="000000"/>
                <w:szCs w:val="21"/>
                <w:lang w:val="en-US" w:eastAsia="zh-CN"/>
              </w:rPr>
              <w:t>（详见附件《国际传播证明》）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9" w:hRule="exact"/>
        </w:trPr>
        <w:tc>
          <w:tcPr>
            <w:tcW w:w="1101" w:type="dxa"/>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初推</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评荐</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评理</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语由</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646" w:type="dxa"/>
            <w:gridSpan w:val="7"/>
            <w:tcBorders>
              <w:bottom w:val="single" w:color="auto" w:sz="4" w:space="0"/>
            </w:tcBorders>
          </w:tcPr>
          <w:p>
            <w:pPr>
              <w:ind w:firstLine="420"/>
              <w:rPr>
                <w:rFonts w:ascii="仿宋" w:hAnsi="仿宋" w:eastAsia="仿宋"/>
                <w:color w:val="000000"/>
                <w:szCs w:val="21"/>
              </w:rPr>
            </w:pPr>
          </w:p>
          <w:p>
            <w:pPr>
              <w:keepNext w:val="0"/>
              <w:keepLines w:val="0"/>
              <w:pageBreakBefore w:val="0"/>
              <w:widowControl w:val="0"/>
              <w:kinsoku/>
              <w:wordWrap/>
              <w:overflowPunct/>
              <w:topLinePunct w:val="0"/>
              <w:autoSpaceDE/>
              <w:autoSpaceDN/>
              <w:bidi w:val="0"/>
              <w:adjustRightInd/>
              <w:snapToGrid/>
              <w:spacing w:line="360" w:lineRule="exact"/>
              <w:ind w:firstLine="412" w:firstLineChars="200"/>
              <w:textAlignment w:val="auto"/>
              <w:rPr>
                <w:rFonts w:hint="eastAsia" w:ascii="仿宋" w:hAnsi="仿宋" w:eastAsia="仿宋" w:cs="仿宋"/>
                <w:color w:val="000000"/>
                <w:spacing w:val="-2"/>
                <w:sz w:val="21"/>
                <w:szCs w:val="21"/>
              </w:rPr>
            </w:pPr>
            <w:r>
              <w:rPr>
                <w:rFonts w:hint="eastAsia" w:ascii="仿宋" w:hAnsi="仿宋" w:eastAsia="仿宋" w:cs="仿宋"/>
                <w:color w:val="000000"/>
                <w:spacing w:val="-2"/>
                <w:sz w:val="21"/>
                <w:szCs w:val="21"/>
              </w:rPr>
              <w:t>消息短小精悍、有点有面，抓住了“绿色低碳”、技术共享、人才储备这三个中老两国人民关注的新闻点，深入挖掘，展示中老两国的友谊。中老两国在能源领域一直保持密切协调合作。两党两国最高领导人亲自签署的《关于构建中老命运共同体行动计划》指出，要“深化中老电力合作战略伙伴关系”。中老铁路外部供电项目报道传播范围广，其中展示出的“中国机遇”，使得更多老挝人民熟悉了解中国企业，也为后续中老能源合作营造了良好的舆论氛围。</w:t>
            </w:r>
            <w:bookmarkStart w:id="0" w:name="_GoBack"/>
            <w:bookmarkEnd w:id="0"/>
          </w:p>
          <w:p>
            <w:pPr>
              <w:spacing w:line="360" w:lineRule="exact"/>
              <w:ind w:firstLine="2884" w:firstLineChars="1400"/>
              <w:rPr>
                <w:rFonts w:hint="eastAsia" w:ascii="仿宋" w:hAnsi="仿宋" w:eastAsia="仿宋" w:cs="仿宋"/>
                <w:color w:val="000000"/>
                <w:spacing w:val="-2"/>
                <w:sz w:val="21"/>
                <w:szCs w:val="21"/>
              </w:rPr>
            </w:pPr>
          </w:p>
          <w:p>
            <w:pPr>
              <w:spacing w:line="360" w:lineRule="exact"/>
              <w:ind w:firstLine="3864" w:firstLineChars="1400"/>
              <w:rPr>
                <w:rFonts w:hint="eastAsia" w:ascii="华文中宋" w:hAnsi="华文中宋" w:eastAsia="华文中宋"/>
                <w:color w:val="000000"/>
                <w:spacing w:val="-2"/>
                <w:sz w:val="28"/>
              </w:rPr>
            </w:pPr>
          </w:p>
          <w:p>
            <w:pPr>
              <w:spacing w:line="360" w:lineRule="exact"/>
              <w:ind w:firstLine="3864" w:firstLineChars="1400"/>
              <w:rPr>
                <w:rFonts w:ascii="华文中宋" w:hAnsi="华文中宋" w:eastAsia="华文中宋"/>
                <w:color w:val="000000"/>
                <w:spacing w:val="-2"/>
                <w:sz w:val="28"/>
              </w:rPr>
            </w:pPr>
            <w:r>
              <w:rPr>
                <w:rFonts w:hint="eastAsia" w:ascii="华文中宋" w:hAnsi="华文中宋" w:eastAsia="华文中宋"/>
                <w:color w:val="000000"/>
                <w:spacing w:val="-2"/>
                <w:sz w:val="28"/>
              </w:rPr>
              <w:t>签名：</w:t>
            </w:r>
          </w:p>
          <w:p>
            <w:pPr>
              <w:spacing w:line="360" w:lineRule="exact"/>
              <w:ind w:firstLine="5460" w:firstLineChars="1950"/>
              <w:rPr>
                <w:rFonts w:ascii="华文中宋" w:hAnsi="华文中宋" w:eastAsia="华文中宋"/>
                <w:color w:val="000000"/>
                <w:sz w:val="28"/>
              </w:rPr>
            </w:pPr>
            <w:r>
              <w:rPr>
                <w:rFonts w:hint="eastAsia" w:ascii="华文中宋" w:hAnsi="华文中宋" w:eastAsia="华文中宋"/>
                <w:color w:val="000000"/>
                <w:sz w:val="28"/>
              </w:rPr>
              <w:t>（盖单位公章）</w:t>
            </w:r>
          </w:p>
          <w:p>
            <w:pPr>
              <w:rPr>
                <w:rFonts w:ascii="仿宋" w:hAnsi="仿宋" w:eastAsia="仿宋"/>
                <w:color w:val="000000"/>
                <w:szCs w:val="21"/>
              </w:rPr>
            </w:pPr>
            <w:r>
              <w:rPr>
                <w:rFonts w:hint="eastAsia" w:ascii="华文中宋" w:hAnsi="华文中宋" w:eastAsia="华文中宋"/>
                <w:color w:val="000000"/>
                <w:sz w:val="28"/>
              </w:rPr>
              <w:t xml:space="preserve">                                      </w:t>
            </w:r>
            <w:r>
              <w:rPr>
                <w:rFonts w:ascii="华文中宋" w:hAnsi="华文中宋" w:eastAsia="华文中宋"/>
                <w:color w:val="000000"/>
                <w:sz w:val="28"/>
              </w:rPr>
              <w:t>20</w:t>
            </w:r>
            <w:r>
              <w:rPr>
                <w:rFonts w:hint="eastAsia" w:ascii="华文中宋" w:hAnsi="华文中宋" w:eastAsia="华文中宋"/>
                <w:color w:val="000000"/>
                <w:sz w:val="28"/>
              </w:rPr>
              <w:t>22</w:t>
            </w:r>
            <w:r>
              <w:rPr>
                <w:rFonts w:ascii="华文中宋" w:hAnsi="华文中宋" w:eastAsia="华文中宋"/>
                <w:color w:val="000000"/>
                <w:sz w:val="28"/>
              </w:rPr>
              <w:t xml:space="preserve">年  </w:t>
            </w:r>
            <w:r>
              <w:rPr>
                <w:rFonts w:hint="eastAsia" w:ascii="华文中宋" w:hAnsi="华文中宋" w:eastAsia="华文中宋"/>
                <w:color w:val="000000"/>
                <w:sz w:val="28"/>
              </w:rPr>
              <w:t>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9747" w:type="dxa"/>
            <w:gridSpan w:val="8"/>
            <w:tcBorders>
              <w:left w:val="nil"/>
              <w:bottom w:val="nil"/>
              <w:right w:val="nil"/>
            </w:tcBorders>
          </w:tcPr>
          <w:p>
            <w:pPr>
              <w:ind w:firstLine="560"/>
              <w:rPr>
                <w:rFonts w:ascii="楷体" w:hAnsi="楷体" w:eastAsia="楷体"/>
                <w:color w:val="000000"/>
                <w:sz w:val="28"/>
              </w:rPr>
            </w:pPr>
          </w:p>
        </w:tc>
      </w:tr>
    </w:tbl>
    <w:p>
      <w:pPr>
        <w:rPr>
          <w:rFonts w:ascii="华文仿宋" w:hAnsi="华文仿宋" w:eastAsia="华文仿宋"/>
          <w:color w:val="000000"/>
          <w:sz w:val="32"/>
          <w:szCs w:val="32"/>
        </w:rPr>
        <w:sectPr>
          <w:headerReference r:id="rId3" w:type="default"/>
          <w:pgSz w:w="11906" w:h="16838"/>
          <w:pgMar w:top="1440" w:right="1247" w:bottom="1440" w:left="1247" w:header="851" w:footer="1418" w:gutter="0"/>
          <w:cols w:space="425"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16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hNDdlOTZkOGZjZWM0ZDVjMWNjNDcwMWQ2OWJkNmEifQ=="/>
  </w:docVars>
  <w:rsids>
    <w:rsidRoot w:val="5DD065D6"/>
    <w:rsid w:val="02D61914"/>
    <w:rsid w:val="063302DF"/>
    <w:rsid w:val="10AF2C58"/>
    <w:rsid w:val="10B65D95"/>
    <w:rsid w:val="181C4882"/>
    <w:rsid w:val="1EAF94F0"/>
    <w:rsid w:val="1FAD2A59"/>
    <w:rsid w:val="2FEB794C"/>
    <w:rsid w:val="3A0948D8"/>
    <w:rsid w:val="3B965F8D"/>
    <w:rsid w:val="45036AF3"/>
    <w:rsid w:val="492D2391"/>
    <w:rsid w:val="507408A5"/>
    <w:rsid w:val="533E06D8"/>
    <w:rsid w:val="5B2E2646"/>
    <w:rsid w:val="5DD065D6"/>
    <w:rsid w:val="5E287173"/>
    <w:rsid w:val="74772DEC"/>
    <w:rsid w:val="7CBDD9D0"/>
    <w:rsid w:val="7DFBBB8C"/>
    <w:rsid w:val="7FDB33F6"/>
    <w:rsid w:val="F97B0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381</Words>
  <Characters>388</Characters>
  <Lines>0</Lines>
  <Paragraphs>0</Paragraphs>
  <TotalTime>9</TotalTime>
  <ScaleCrop>false</ScaleCrop>
  <LinksUpToDate>false</LinksUpToDate>
  <CharactersWithSpaces>442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2022-05-17T02:20:00Z</dcterms:created>
  <dc:creator>cm</dc:creator>
  <cp:lastModifiedBy>cm</cp:lastModifiedBy>
  <dcterms:modified xsi:type="dcterms:W3CDTF">2022-05-17T06:38:52Z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CB7B2DD1E4D9D2DF56498262BEA31FD2</vt:lpwstr>
  </property>
</Properties>
</file>